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20 206 vom 2. Juni 2022</w:t>
      </w:r>
    </w:p>
    <w:p>
      <w:r>
        <w:t>VS Kantonsgericht, 2022-06-02, FR</w:t>
      </w:r>
    </w:p>
    <w:p>
      <w:r>
        <w:rPr>
          <w:b/>
        </w:rPr>
        <w:t xml:space="preserve">Quelle: </w:t>
      </w:r>
      <w:r>
        <w:t>https://mcp.opencaselaw.ch/entscheid/vs_gerichte_S1 20 206</w:t>
      </w:r>
    </w:p>
    <w:p>
      <w:r>
        <w:t>FR: VS_GERICHTE S1 20 206 du 2 juin 2022</w:t>
      </w:r>
    </w:p>
    <w:p>
      <w:r>
        <w:t>IT: VS_GERICHTE S1 20 206 del 2 giugno 2022</w:t>
      </w:r>
    </w:p>
    <w:p>
      <w:pPr>
        <w:pStyle w:val="Heading2"/>
      </w:pPr>
      <w:r>
        <w:t>Regeste</w:t>
      </w:r>
    </w:p>
    <w:p>
      <w:r>
        <w:t>S1 20 206 JUGEMENT DU 2 JUIN 2022 Tribunal cantonal du Valais Cour des assurances sociales Composition : Candido Prada, président ; Jean-Bernard Fournier et Thomas Brunner, juges ; Mireille Allegro, greffière en la cause X _________, recourant, représenté par Maître Marc-André Mabillard, avocat, 1912 Leytron contre CAISSE DE CHÔMAGE OCS, 1950 Sion, intimée (art. 31 al. 3 let. b et c LACI ; position assimilable à celle d’un employeur)</w:t>
      </w:r>
    </w:p>
    <w:p>
      <w:pPr>
        <w:pStyle w:val="Heading2"/>
      </w:pPr>
      <w:r>
        <w:t>Erwägungen</w:t>
      </w:r>
    </w:p>
    <w:p>
      <w:r>
        <w:rPr>
          <w:b/>
        </w:rPr>
        <w:t>E. 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w:t>
      </w:r>
    </w:p>
    <w:p>
      <w:r>
        <w:t>- 6 - Posté le 5 octobre 2020, le recours à l'encontre de la décision sur opposition du</w:t>
      </w:r>
    </w:p>
    <w:p>
      <w:r>
        <w:rPr>
          <w:b/>
        </w:rPr>
        <w:t>E. 2</w:t>
      </w:r>
    </w:p>
    <w:p>
      <w:r>
        <w:t>Le litige porte sur le point de savoir si l’autorité intimée était fondée à nier le droit du recourant à l’indemnité de chômage dès le 1er janvier 2020, au motif qu’il occupait une position assimilable à celle d’un employeur, et partant à lui réclamer la restitution des indemnités déjà versées. 2.1.1 Il découle de l’article 31 alinéa 3 lettre b LACI que le conjoint de l’employeur, occupé dans l’entreprise de celui-ci, n’a pas droit à l’indemnité en cas de réduction de l’horaire de travail (RHT). Selon l'article 31 alinéa 3 lettre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 Tribunal fédéral a explicité les motifs fondant l'application analogique de cette règle à l'octroi de l'indemnité de chômage (ATF 145 V 200 consid. 4.1 et 142 V 268 consid. 5.2 ; arrêt du Tribunal fédéral 8C_155/2011 du 25 janvier 2012 consid. 3.3 et les références, notamment à l’arrêt de principe paru à l’ATF 123 V 234). Le droit du conjoint à l’indemnité chômage ne pourra être que nié tant que le dirigeant est lié à l’entreprise (arrêts du Tribunal fédéral 8C_163/2016 du 17 octobre 2016 consid. 4.2, 8C_231/2012 du 16 août 2012 consid. 3.2). Cette règle s’applique quel que soit le régime matrimonial (Boris Rubin, Commentaire de la loi sur l’assurance-chômage, 2014, ad art. 10 ch. 27 LACI ; DTA 2011 p. 65). L’exclusion s’applique que l’entreprise soit une société commerciale ou une entreprise individuelle (arrêt du Tribunal fédéral des assurances C 50/04 du 26 juillet 2005 consid. 3.1 ; Boris Rubin, op. cit., ad art. 10 ch. 27 LACI). Le Tribunal fédéral a rappelé dans un arrêt de principe (ATF 123 V 234) que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Il en va de même des conjoints de ces personnes qui travaillent dans l'entreprise. Il existe un risque de contournement de cette clause d'exclusion lorsque, dans un contexte économique difficile, ces mêmes personnes procèdent à leur propre</w:t>
      </w:r>
    </w:p>
    <w:p>
      <w:r>
        <w:t>- 7 -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Lorsque la personne a été engagée comme salariée, elle doit avoir rompu définitivement tous les liens avec l’entreprise à la suite de la résiliation de son contrat de travail. Un réengagement ne pourrait alors plus dépendre de la volonté de la personne licenciée, faute de pouvoir décisionnel. La cessation des liens empêche que le statut semblable à celui d’un employeur perdure (arrêts du Tribunal fédéral 8C_574/2017 du 4 septembre 2018 consid. 5.1 et 8C_163/2016 du 17 octobre 2016 consid. 4.2 ; Boris Rubin, op. cit., ad art. 10 ch. 32 LACI). Bien que cette jurisprudence puisse paraître très sévère, il y a lieu de garder à l'esprit que l'assurance-chômage n'a pas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8C_536/2013 du 14 mai 2014 consid. 3). 2.1.2 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w:t>
      </w:r>
    </w:p>
    <w:p>
      <w:r>
        <w:t>- 8 -</w:t>
      </w:r>
    </w:p>
    <w:p>
      <w:r>
        <w:rPr>
          <w:b/>
        </w:rPr>
        <w:t>E. 2.2</w:t>
      </w:r>
    </w:p>
    <w:p>
      <w:r>
        <w:t>En l’espèce, force est d’admettre, à l’instar de l’intimée et du SECO, que le cas présente des spécificités particulières qui justifient de considérer qu’il y avait un risque de détournement de la loi. En effet, la société n’a pas été dissoute et a été reprise par la mère du recourant. Or, ce lien de parenté peut être considéré comme un motif d'exclusion du droit à l'indemnité de chômage, B _________ ayant à tout moment la faculté de réengager son fils et l’épouse de ce dernier dans la société. En outre, les époux avaient déjà procédé de la sorte en 2015 et leur aptitude au placement avait finalement été reconnue par le SICT, pour autant qu’ils tiennent régulièrement informé l’ORP du développement d’un projet de reprise d’un établissement, ce qui n’a pas été fait. Contrairement à ce que prétendent les époux, aucun élément factuel suffisamment probant prouve qu’ils ont rompu définitivement tout lien avec la société, étant rappelé qu’une simple possibilité, même hypothétique, d’un contournement de la loi suffit à nier le droit au chômage. Partant, c’est à bon droit que l’intimée a refusé tout droit à des prestations au recourant dès le 1er janvier 2020 et a demandé la restitution des indemnités versées à tort, dont le montant n’a pas été contesté par ce dernier.</w:t>
      </w:r>
    </w:p>
    <w:p>
      <w:r>
        <w:rPr>
          <w:b/>
        </w:rPr>
        <w:t>E. 3</w:t>
      </w:r>
    </w:p>
    <w:p>
      <w:r>
        <w:t>Il s’ensuit que le recours du 5 octobre 2020 est rejeté et la décision attaquée du 2 septembre 2020 de la Caisse OCS confirmée.</w:t>
      </w:r>
    </w:p>
    <w:p>
      <w:r>
        <w:rPr>
          <w:b/>
        </w:rPr>
        <w:t>E. 4</w:t>
      </w:r>
    </w:p>
    <w:p>
      <w:r>
        <w:t>Il n’est pas perçu de frais (art. 61 let. a aLPGA et 83 LPGA ) ni alloué de dépens (art. 61 let. g LPGA a contrario).</w:t>
      </w:r>
    </w:p>
    <w:p>
      <w:r>
        <w:t>Prononce</w:t>
      </w:r>
    </w:p>
    <w:p>
      <w:r>
        <w:t>1. Le recours du 5 octobre 2020 de X _________ contre la décision sur opposition du 2 septembre 2020 (719/2020/67) est rejeté. 2. Il n'est pas perçu de frais, ni alloué de dépens.</w:t>
      </w:r>
    </w:p>
    <w:p>
      <w:r>
        <w:t>Sion, le 2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